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4E93" w14:textId="21CDE7E8" w:rsidR="001621C6" w:rsidRPr="0081509B" w:rsidRDefault="75175986" w:rsidP="75175986">
      <w:pPr>
        <w:shd w:val="clear" w:color="auto" w:fill="FFFFFF" w:themeFill="background1"/>
        <w:spacing w:beforeLines="40" w:before="96" w:afterLines="40" w:after="96" w:line="60" w:lineRule="atLeast"/>
        <w:rPr>
          <w:rFonts w:ascii="Verdana" w:hAnsi="Verdana"/>
          <w:sz w:val="24"/>
          <w:szCs w:val="24"/>
          <w:lang w:val="en-US"/>
        </w:rPr>
      </w:pPr>
      <w:r w:rsidRPr="665914C5">
        <w:rPr>
          <w:rFonts w:ascii="Verdana" w:hAnsi="Verdana"/>
          <w:b/>
          <w:bCs/>
          <w:sz w:val="28"/>
          <w:szCs w:val="28"/>
          <w:lang w:val="en-US"/>
        </w:rPr>
        <w:t xml:space="preserve">Cultural Tour of Quito (full-day): </w:t>
      </w:r>
      <w:r w:rsidRPr="665914C5">
        <w:rPr>
          <w:rFonts w:ascii="Verdana" w:hAnsi="Verdana"/>
          <w:sz w:val="24"/>
          <w:szCs w:val="24"/>
          <w:lang w:val="en-US"/>
        </w:rPr>
        <w:t>includes guide, professional driver, and lunch at a local restaurant (private)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89"/>
        <w:gridCol w:w="2479"/>
      </w:tblGrid>
      <w:tr w:rsidR="002D526C" w14:paraId="238A986A" w14:textId="77777777" w:rsidTr="665914C5">
        <w:trPr>
          <w:trHeight w:val="1224"/>
          <w:jc w:val="center"/>
        </w:trPr>
        <w:tc>
          <w:tcPr>
            <w:tcW w:w="2123" w:type="dxa"/>
          </w:tcPr>
          <w:p w14:paraId="3DE4BC9D" w14:textId="039A1502" w:rsidR="00C14905" w:rsidRDefault="00C14905" w:rsidP="002D526C">
            <w:pPr>
              <w:spacing w:beforeLines="20" w:before="48" w:afterLines="20" w:after="48" w:line="60" w:lineRule="atLeast"/>
              <w:jc w:val="center"/>
              <w:rPr>
                <w:rFonts w:ascii="Verdana" w:eastAsia="Times New Roman" w:hAnsi="Verdana" w:cs="Times New Roman"/>
                <w:color w:val="444444"/>
                <w:spacing w:val="2"/>
                <w:sz w:val="24"/>
                <w:szCs w:val="24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59FB6E77" wp14:editId="4F12194E">
                  <wp:extent cx="1369456" cy="889462"/>
                  <wp:effectExtent l="0" t="0" r="2540" b="6350"/>
                  <wp:docPr id="946586125" name="Imagen 15" descr="http://cotizadortest.metropolitan-touring.com/itinerario/UIEXW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456" cy="88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14:paraId="0B24BAD0" w14:textId="3178E620" w:rsidR="00C14905" w:rsidRDefault="00C14905" w:rsidP="002D526C">
            <w:pPr>
              <w:spacing w:beforeLines="20" w:before="48" w:afterLines="20" w:after="48" w:line="60" w:lineRule="atLeast"/>
              <w:jc w:val="center"/>
              <w:rPr>
                <w:rFonts w:ascii="Verdana" w:eastAsia="Times New Roman" w:hAnsi="Verdana" w:cs="Times New Roman"/>
                <w:color w:val="444444"/>
                <w:spacing w:val="2"/>
                <w:sz w:val="24"/>
                <w:szCs w:val="24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06211F3D" wp14:editId="52CA7974">
                  <wp:extent cx="1379913" cy="918628"/>
                  <wp:effectExtent l="0" t="0" r="0" b="0"/>
                  <wp:docPr id="423131434" name="Imagen 4" descr="http://cotizadortest.metropolitan-touring.com/itinerario/UIMUN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913" cy="91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</w:tcPr>
          <w:p w14:paraId="1B1F86FF" w14:textId="16103D6B" w:rsidR="00C14905" w:rsidRDefault="00C14905" w:rsidP="002D526C">
            <w:pPr>
              <w:spacing w:beforeLines="20" w:before="48" w:afterLines="20" w:after="48" w:line="60" w:lineRule="atLeast"/>
              <w:jc w:val="center"/>
              <w:rPr>
                <w:rFonts w:ascii="Verdana" w:eastAsia="Times New Roman" w:hAnsi="Verdana" w:cs="Times New Roman"/>
                <w:color w:val="444444"/>
                <w:spacing w:val="2"/>
                <w:sz w:val="24"/>
                <w:szCs w:val="24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0810EE44" wp14:editId="7903598D">
                  <wp:extent cx="1413164" cy="915035"/>
                  <wp:effectExtent l="0" t="0" r="0" b="0"/>
                  <wp:docPr id="2126677767" name="Imagen 5" descr="http://cotizadortest.metropolitan-touring.com/itinerario/UIMUA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164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26C" w14:paraId="4C5186D9" w14:textId="77777777" w:rsidTr="665914C5">
        <w:trPr>
          <w:trHeight w:val="1224"/>
          <w:jc w:val="center"/>
        </w:trPr>
        <w:tc>
          <w:tcPr>
            <w:tcW w:w="2123" w:type="dxa"/>
          </w:tcPr>
          <w:p w14:paraId="1705E1B1" w14:textId="29186136" w:rsidR="00C14905" w:rsidRDefault="00C14905" w:rsidP="002D526C">
            <w:pPr>
              <w:spacing w:beforeLines="20" w:before="48" w:afterLines="20" w:after="48" w:line="60" w:lineRule="atLeast"/>
              <w:jc w:val="center"/>
              <w:rPr>
                <w:rFonts w:ascii="Verdana" w:eastAsia="Times New Roman" w:hAnsi="Verdana" w:cs="Times New Roman"/>
                <w:color w:val="444444"/>
                <w:spacing w:val="2"/>
                <w:sz w:val="24"/>
                <w:szCs w:val="24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2756276A" wp14:editId="3988DE71">
                  <wp:extent cx="1371600" cy="913094"/>
                  <wp:effectExtent l="0" t="0" r="0" b="1905"/>
                  <wp:docPr id="673553936" name="Imagen 18" descr="http://cotizadortest.metropolitan-touring.com/itinerario/UIMUA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14:paraId="57B00C34" w14:textId="6BA93DF5" w:rsidR="00C14905" w:rsidRDefault="00C14905" w:rsidP="002D526C">
            <w:pPr>
              <w:spacing w:beforeLines="20" w:before="48" w:afterLines="20" w:after="48" w:line="60" w:lineRule="atLeast"/>
              <w:jc w:val="center"/>
              <w:rPr>
                <w:rFonts w:ascii="Verdana" w:eastAsia="Times New Roman" w:hAnsi="Verdana" w:cs="Times New Roman"/>
                <w:color w:val="444444"/>
                <w:spacing w:val="2"/>
                <w:sz w:val="24"/>
                <w:szCs w:val="24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56BAD437" wp14:editId="346FCD1C">
                  <wp:extent cx="1371059" cy="912495"/>
                  <wp:effectExtent l="0" t="0" r="635" b="1905"/>
                  <wp:docPr id="1924089862" name="Imagen 2" descr="http://cotizadortest.metropolitan-touring.com/itinerario/UICUN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059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</w:tcPr>
          <w:p w14:paraId="17D11CFB" w14:textId="63C3C0CA" w:rsidR="00C14905" w:rsidRDefault="00C14905" w:rsidP="002D526C">
            <w:pPr>
              <w:spacing w:beforeLines="20" w:before="48" w:afterLines="20" w:after="48" w:line="60" w:lineRule="atLeast"/>
              <w:jc w:val="center"/>
              <w:rPr>
                <w:rFonts w:ascii="Verdana" w:eastAsia="Times New Roman" w:hAnsi="Verdana" w:cs="Times New Roman"/>
                <w:color w:val="444444"/>
                <w:spacing w:val="2"/>
                <w:sz w:val="24"/>
                <w:szCs w:val="24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67C80369" wp14:editId="0CF8A2C4">
                  <wp:extent cx="1437472" cy="922713"/>
                  <wp:effectExtent l="0" t="0" r="0" b="0"/>
                  <wp:docPr id="809220897" name="Imagen 13" descr="http://cotizadortest.metropolitan-touring.com/itinerario/UICUN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472" cy="9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26C" w14:paraId="7F185DB9" w14:textId="77777777" w:rsidTr="665914C5">
        <w:trPr>
          <w:trHeight w:val="1250"/>
          <w:jc w:val="center"/>
        </w:trPr>
        <w:tc>
          <w:tcPr>
            <w:tcW w:w="2123" w:type="dxa"/>
          </w:tcPr>
          <w:p w14:paraId="6EAF1F7A" w14:textId="1138443A" w:rsidR="00C14905" w:rsidRDefault="00C14905" w:rsidP="002D526C">
            <w:pPr>
              <w:spacing w:beforeLines="20" w:before="48" w:afterLines="20" w:after="48" w:line="60" w:lineRule="atLeast"/>
              <w:jc w:val="center"/>
              <w:rPr>
                <w:rFonts w:ascii="Verdana" w:eastAsia="Times New Roman" w:hAnsi="Verdana" w:cs="Times New Roman"/>
                <w:color w:val="444444"/>
                <w:spacing w:val="2"/>
                <w:sz w:val="24"/>
                <w:szCs w:val="24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369E170C" wp14:editId="6B17D94F">
                  <wp:extent cx="1371600" cy="913094"/>
                  <wp:effectExtent l="0" t="0" r="0" b="1905"/>
                  <wp:docPr id="1114713206" name="Imagen 3" descr="http://cotizadortest.metropolitan-touring.com/itinerario/UICUN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14:paraId="4F5773B2" w14:textId="6654E419" w:rsidR="00C14905" w:rsidRDefault="00C14905" w:rsidP="002D526C">
            <w:pPr>
              <w:spacing w:beforeLines="20" w:before="48" w:afterLines="20" w:after="48" w:line="60" w:lineRule="atLeast"/>
              <w:jc w:val="center"/>
              <w:rPr>
                <w:rFonts w:ascii="Verdana" w:eastAsia="Times New Roman" w:hAnsi="Verdana" w:cs="Times New Roman"/>
                <w:color w:val="444444"/>
                <w:spacing w:val="2"/>
                <w:sz w:val="24"/>
                <w:szCs w:val="24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61BF8559" wp14:editId="1449B7AB">
                  <wp:extent cx="1354455" cy="905510"/>
                  <wp:effectExtent l="0" t="0" r="0" b="8890"/>
                  <wp:docPr id="1341694537" name="Imagen 1" descr="http://cotizadortest.metropolitan-touring.com/itinerario/UISCA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</w:tcPr>
          <w:p w14:paraId="68FE4E8D" w14:textId="54112A45" w:rsidR="00C14905" w:rsidRDefault="00C14905" w:rsidP="002D526C">
            <w:pPr>
              <w:spacing w:beforeLines="20" w:before="48" w:afterLines="20" w:after="48" w:line="60" w:lineRule="atLeast"/>
              <w:jc w:val="center"/>
              <w:rPr>
                <w:rFonts w:ascii="Verdana" w:eastAsia="Times New Roman" w:hAnsi="Verdana" w:cs="Times New Roman"/>
                <w:color w:val="444444"/>
                <w:spacing w:val="2"/>
                <w:sz w:val="24"/>
                <w:szCs w:val="24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318F839E" wp14:editId="0F7B9D2E">
                  <wp:extent cx="1437472" cy="889462"/>
                  <wp:effectExtent l="0" t="0" r="0" b="6350"/>
                  <wp:docPr id="1040961078" name="Imagen 10" descr="http://cotizadortest.metropolitan-touring.com/itinerario/UIMKN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472" cy="88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32FEC" w14:textId="16A65814" w:rsidR="00224BAD" w:rsidRDefault="00C00E96" w:rsidP="00FA6537">
      <w:pPr>
        <w:shd w:val="clear" w:color="auto" w:fill="FFFFFF"/>
        <w:spacing w:beforeLines="40" w:before="96" w:afterLines="40" w:after="96" w:line="60" w:lineRule="atLeast"/>
        <w:ind w:firstLine="708"/>
        <w:jc w:val="both"/>
        <w:rPr>
          <w:rFonts w:ascii="Verdana" w:eastAsia="Times New Roman" w:hAnsi="Verdana" w:cs="Times New Roman"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</w:pPr>
      <w:r w:rsidRPr="00162597">
        <w:rPr>
          <w:rFonts w:ascii="Verdana" w:eastAsia="Times New Roman" w:hAnsi="Verdana" w:cs="Times New Roman"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This </w:t>
      </w:r>
      <w:r w:rsidR="00A41B8B">
        <w:rPr>
          <w:rFonts w:ascii="Verdana" w:eastAsia="Times New Roman" w:hAnsi="Verdana" w:cs="Times New Roman"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full-day</w:t>
      </w:r>
      <w:r w:rsidR="0057138C" w:rsidRPr="00162597">
        <w:rPr>
          <w:rFonts w:ascii="Verdana" w:eastAsia="Times New Roman" w:hAnsi="Verdana" w:cs="Times New Roman"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 tour </w:t>
      </w:r>
      <w:r w:rsidR="00C14905">
        <w:rPr>
          <w:rFonts w:ascii="Verdana" w:eastAsia="Times New Roman" w:hAnsi="Verdana" w:cs="Times New Roman"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allows you to experience Quito like a local. </w:t>
      </w:r>
    </w:p>
    <w:p w14:paraId="671FF9C8" w14:textId="1B08420B" w:rsidR="00224BAD" w:rsidRDefault="00224BAD" w:rsidP="437F2674">
      <w:pPr>
        <w:shd w:val="clear" w:color="auto" w:fill="FFFFFF" w:themeFill="background1"/>
        <w:spacing w:beforeLines="40" w:before="96" w:afterLines="40" w:after="96" w:line="60" w:lineRule="atLeast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es-EC"/>
        </w:rPr>
      </w:pPr>
      <w:r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On this day, we </w:t>
      </w:r>
      <w:r w:rsidR="00FA6537"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visit the </w:t>
      </w:r>
      <w:r w:rsidR="00FA6537" w:rsidRPr="00FA6537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Casa del Alabado Museum</w:t>
      </w:r>
      <w:r w:rsidR="00FA6537"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, a delightful spot, situated at the edge of the iconic</w:t>
      </w:r>
      <w:r w:rsidR="00FA6537"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 </w:t>
      </w:r>
      <w:r w:rsidR="00FA6537"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San Francisco Plaza. The museum occupies one of the oldest houses in the Historic Center and features a privileged look at pre-Colombian art,</w:t>
      </w:r>
      <w:r w:rsidR="00D605CB"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 focus</w:t>
      </w:r>
      <w:r w:rsidR="001B0068"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ed </w:t>
      </w:r>
      <w:r w:rsidR="00580DA6"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on the </w:t>
      </w:r>
      <w:r w:rsidR="001B0068"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religious practices</w:t>
      </w:r>
      <w:r w:rsidR="00580DA6"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 of each group.</w:t>
      </w:r>
    </w:p>
    <w:p w14:paraId="371D61C1" w14:textId="60226A56" w:rsidR="00712575" w:rsidRPr="00C14905" w:rsidRDefault="00224BAD" w:rsidP="00FA6537">
      <w:pPr>
        <w:shd w:val="clear" w:color="auto" w:fill="FFFFFF"/>
        <w:spacing w:beforeLines="40" w:before="96" w:afterLines="40" w:after="96" w:line="60" w:lineRule="atLeast"/>
        <w:ind w:firstLine="708"/>
        <w:jc w:val="both"/>
        <w:rPr>
          <w:rFonts w:ascii="Verdana" w:eastAsia="Times New Roman" w:hAnsi="Verdana" w:cs="Times New Roman"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</w:pPr>
      <w:r w:rsidRPr="437F2674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We also visit </w:t>
      </w:r>
      <w:r w:rsidR="00173E87"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lang w:val="en-US" w:eastAsia="es-EC"/>
        </w:rPr>
        <w:t xml:space="preserve">La </w:t>
      </w:r>
      <w:proofErr w:type="spellStart"/>
      <w:r w:rsidR="00173E87"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lang w:val="en-US" w:eastAsia="es-EC"/>
        </w:rPr>
        <w:t>Compañí</w:t>
      </w:r>
      <w:r w:rsidR="0057138C"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lang w:val="en-US" w:eastAsia="es-EC"/>
        </w:rPr>
        <w:t>a</w:t>
      </w:r>
      <w:proofErr w:type="spellEnd"/>
      <w:r w:rsidR="0057138C"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lang w:val="en-US" w:eastAsia="es-EC"/>
        </w:rPr>
        <w:t xml:space="preserve"> Church</w:t>
      </w:r>
      <w:r w:rsidR="001B0068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(also known as the Church of the Society of Jesus)</w:t>
      </w:r>
      <w:r w:rsidR="00FA653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, </w:t>
      </w:r>
      <w:r w:rsidR="00270FD9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c</w:t>
      </w:r>
      <w:r w:rsidR="0057138C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onsidered the crown jewel of Quito’s Historic Center and one of </w:t>
      </w:r>
      <w:r w:rsidR="001B0068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the most important examples of B</w:t>
      </w:r>
      <w:r w:rsidR="0057138C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aroque architecture in the world</w:t>
      </w:r>
      <w:r w:rsidR="00C00E96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. This masterpiece</w:t>
      </w:r>
      <w:r w:rsidR="0057138C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is </w:t>
      </w:r>
      <w:r w:rsidR="00C00E96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the</w:t>
      </w:r>
      <w:r w:rsidR="0057138C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product of a </w:t>
      </w:r>
      <w:r w:rsidR="0041084F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European vision realized through the </w:t>
      </w:r>
      <w:proofErr w:type="gramStart"/>
      <w:r w:rsidR="0041084F" w:rsidRPr="437F2674">
        <w:rPr>
          <w:rFonts w:ascii="Verdana" w:eastAsia="Times New Roman" w:hAnsi="Verdana" w:cs="Times New Roman"/>
          <w:i/>
          <w:iCs/>
          <w:color w:val="000000" w:themeColor="text1"/>
          <w:spacing w:val="2"/>
          <w:sz w:val="20"/>
          <w:szCs w:val="20"/>
          <w:lang w:val="en-US" w:eastAsia="es-EC"/>
        </w:rPr>
        <w:t>in situ</w:t>
      </w:r>
      <w:proofErr w:type="gramEnd"/>
      <w:r w:rsidR="0041084F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work of creative and talented </w:t>
      </w:r>
      <w:r w:rsidR="0041084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artisans in the artistic tradition of the Quiteño School</w:t>
      </w:r>
      <w:r w:rsidR="00C00E96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. </w:t>
      </w:r>
    </w:p>
    <w:p w14:paraId="5AE0F3FE" w14:textId="7B66FAC2" w:rsidR="00052C3E" w:rsidRDefault="437F2674" w:rsidP="437F2674">
      <w:pPr>
        <w:spacing w:beforeLines="40" w:before="96" w:afterLines="40" w:after="96" w:line="60" w:lineRule="atLeast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es-EC"/>
        </w:rPr>
      </w:pPr>
      <w:r w:rsidRPr="437F2674">
        <w:rPr>
          <w:rFonts w:ascii="Verdana" w:eastAsia="Verdana" w:hAnsi="Verdana" w:cs="Verdana"/>
          <w:sz w:val="20"/>
          <w:szCs w:val="20"/>
          <w:lang w:val="en-US"/>
        </w:rPr>
        <w:t xml:space="preserve">The ornate </w:t>
      </w:r>
      <w:r w:rsidRPr="437F2674">
        <w:rPr>
          <w:rFonts w:ascii="Verdana" w:eastAsia="Verdana" w:hAnsi="Verdana" w:cs="Verdana"/>
          <w:b/>
          <w:bCs/>
          <w:sz w:val="20"/>
          <w:szCs w:val="20"/>
          <w:lang w:val="en-US"/>
        </w:rPr>
        <w:t>San Francisco Church and Convent</w:t>
      </w:r>
      <w:r w:rsidRPr="437F2674">
        <w:rPr>
          <w:rFonts w:ascii="Verdana" w:eastAsia="Verdana" w:hAnsi="Verdana" w:cs="Verdana"/>
          <w:sz w:val="20"/>
          <w:szCs w:val="20"/>
          <w:lang w:val="en-US"/>
        </w:rPr>
        <w:t xml:space="preserve">, marking the arrival of the first Catholic order in Quito, is considered “America’s Escorial”, built on top of a centuries-old pre-Incan settlement. The church, which features a majestic choral area and a gorgeous crown-like dome, also features the “Winged Virgin” above the main altar. It is a perfect example of Renaissance, </w:t>
      </w:r>
      <w:proofErr w:type="spellStart"/>
      <w:r w:rsidRPr="29BF1BFB">
        <w:rPr>
          <w:rFonts w:ascii="Verdana" w:eastAsia="Verdana" w:hAnsi="Verdana" w:cs="Verdana"/>
          <w:i/>
          <w:iCs/>
          <w:sz w:val="20"/>
          <w:szCs w:val="20"/>
          <w:lang w:val="en-US"/>
        </w:rPr>
        <w:t>Mudéjar</w:t>
      </w:r>
      <w:proofErr w:type="spellEnd"/>
      <w:r w:rsidRPr="437F2674">
        <w:rPr>
          <w:rFonts w:ascii="Verdana" w:eastAsia="Verdana" w:hAnsi="Verdana" w:cs="Verdana"/>
          <w:sz w:val="20"/>
          <w:szCs w:val="20"/>
          <w:lang w:val="en-US"/>
        </w:rPr>
        <w:t xml:space="preserve">, and Baroque Quiteño styles. The interior courtyards and convent are a perfect complement to the visit. This site serves as the inspiration for the Legend of </w:t>
      </w:r>
      <w:proofErr w:type="spellStart"/>
      <w:r w:rsidRPr="437F2674">
        <w:rPr>
          <w:rFonts w:ascii="Verdana" w:eastAsia="Verdana" w:hAnsi="Verdana" w:cs="Verdana"/>
          <w:sz w:val="20"/>
          <w:szCs w:val="20"/>
          <w:lang w:val="en-US"/>
        </w:rPr>
        <w:t>Cantuña</w:t>
      </w:r>
      <w:proofErr w:type="spellEnd"/>
      <w:r w:rsidRPr="437F2674">
        <w:rPr>
          <w:rFonts w:ascii="Verdana" w:eastAsia="Verdana" w:hAnsi="Verdana" w:cs="Verdana"/>
          <w:sz w:val="20"/>
          <w:szCs w:val="20"/>
          <w:lang w:val="en-US"/>
        </w:rPr>
        <w:t xml:space="preserve">, which tells the story of a cunning indigenous worker that managed to deceive the Devil. The imposing façade of the church and convent is as impressive as its grandiose steps, which land upon </w:t>
      </w:r>
      <w:r w:rsidRPr="437F2674">
        <w:rPr>
          <w:rFonts w:ascii="Verdana" w:eastAsia="Verdana" w:hAnsi="Verdana" w:cs="Verdana"/>
          <w:b/>
          <w:bCs/>
          <w:sz w:val="20"/>
          <w:szCs w:val="20"/>
          <w:lang w:val="en-US"/>
        </w:rPr>
        <w:t>San Francisco Plaza</w:t>
      </w:r>
      <w:r w:rsidR="51D19CA2" w:rsidRPr="29BF1BFB">
        <w:rPr>
          <w:rFonts w:ascii="Verdana" w:eastAsia="Verdana" w:hAnsi="Verdana" w:cs="Verdana"/>
          <w:sz w:val="20"/>
          <w:szCs w:val="20"/>
          <w:lang w:val="en-US"/>
        </w:rPr>
        <w:t xml:space="preserve">, where we enjoy a light snack at the </w:t>
      </w:r>
      <w:proofErr w:type="spellStart"/>
      <w:r w:rsidR="51D19CA2" w:rsidRPr="437F2674">
        <w:rPr>
          <w:rFonts w:ascii="Verdana" w:eastAsia="Verdana" w:hAnsi="Verdana" w:cs="Verdana"/>
          <w:b/>
          <w:bCs/>
          <w:sz w:val="20"/>
          <w:szCs w:val="20"/>
          <w:lang w:val="en-US"/>
        </w:rPr>
        <w:t>Tianguez</w:t>
      </w:r>
      <w:proofErr w:type="spellEnd"/>
      <w:r w:rsidR="51D19CA2" w:rsidRPr="437F2674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</w:t>
      </w:r>
      <w:r w:rsidR="51D19CA2" w:rsidRPr="29BF1BFB">
        <w:rPr>
          <w:rFonts w:ascii="Verdana" w:eastAsia="Verdana" w:hAnsi="Verdana" w:cs="Verdana"/>
          <w:sz w:val="20"/>
          <w:szCs w:val="20"/>
          <w:lang w:val="en-US"/>
        </w:rPr>
        <w:t>(restaurant)</w:t>
      </w:r>
      <w:r w:rsidRPr="29BF1BFB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4632C568" w:rsidRPr="29BF1BFB">
        <w:rPr>
          <w:rFonts w:ascii="Verdana" w:eastAsia="Verdana" w:hAnsi="Verdana" w:cs="Verdana"/>
          <w:sz w:val="20"/>
          <w:szCs w:val="20"/>
          <w:lang w:val="en-US"/>
        </w:rPr>
        <w:t>while learning about this place –</w:t>
      </w:r>
      <w:r w:rsidRPr="437F2674">
        <w:rPr>
          <w:rFonts w:ascii="Verdana" w:eastAsia="Verdana" w:hAnsi="Verdana" w:cs="Verdana"/>
          <w:sz w:val="20"/>
          <w:szCs w:val="20"/>
          <w:lang w:val="en-US"/>
        </w:rPr>
        <w:t>one of the most iconic urban settings in the country’s capital. The plaza occupies the same space where once there stood an indigenous marketplace.</w:t>
      </w:r>
      <w:r w:rsidR="007A3556" w:rsidRPr="0016259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</w:t>
      </w:r>
    </w:p>
    <w:p w14:paraId="0F12203A" w14:textId="6F098284" w:rsidR="00712575" w:rsidRDefault="000D73A1" w:rsidP="437F2674">
      <w:pPr>
        <w:shd w:val="clear" w:color="auto" w:fill="FFFFFF" w:themeFill="background1"/>
        <w:spacing w:beforeLines="40" w:before="96" w:afterLines="40" w:after="96" w:line="60" w:lineRule="atLeast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es-EC"/>
        </w:rPr>
      </w:pPr>
      <w:r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lang w:val="en-US" w:eastAsia="es-EC"/>
        </w:rPr>
        <w:t xml:space="preserve">Chocolatería Chez Tiff 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was founded by an Ecuadorian-Swiss couple whose talent for making delicious chocolate from the finest Ecuadorian cacao is shared with visitors from all over during this unique</w:t>
      </w:r>
      <w:r w:rsidR="00B566E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ly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</w:t>
      </w:r>
      <w:r w:rsidR="00B566E7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interesting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tasting. 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ab/>
      </w:r>
    </w:p>
    <w:p w14:paraId="4C4038C5" w14:textId="465D2BC4" w:rsidR="00712575" w:rsidRDefault="000D73A1" w:rsidP="437F2674">
      <w:pPr>
        <w:shd w:val="clear" w:color="auto" w:fill="FFFFFF" w:themeFill="background1"/>
        <w:spacing w:beforeLines="40" w:before="96" w:afterLines="40" w:after="96" w:line="60" w:lineRule="atLeast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es-EC"/>
        </w:rPr>
      </w:pPr>
      <w:r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lang w:val="en-US" w:eastAsia="es-EC"/>
        </w:rPr>
        <w:t>Independence Square</w:t>
      </w:r>
      <w:r w:rsidR="006F13B3"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lang w:val="en-US" w:eastAsia="es-EC"/>
        </w:rPr>
        <w:t xml:space="preserve"> </w:t>
      </w:r>
      <w:r w:rsidR="006F13B3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(also known as the </w:t>
      </w:r>
      <w:r w:rsidR="006F13B3"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lang w:val="en-US" w:eastAsia="es-EC"/>
        </w:rPr>
        <w:t>Plaza Grande</w:t>
      </w:r>
      <w:r w:rsidR="006F13B3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)</w:t>
      </w:r>
      <w:r w:rsidR="00166652"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lang w:val="en-US" w:eastAsia="es-EC"/>
        </w:rPr>
        <w:t xml:space="preserve"> </w:t>
      </w:r>
      <w:r w:rsidR="00166652" w:rsidRPr="00166652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is 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at once, </w:t>
      </w:r>
      <w:r w:rsidR="00CB46B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a 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hub for city planning and development</w:t>
      </w:r>
      <w:r w:rsidR="00CB46B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and a nexus for Ecuadorian society, given that the</w:t>
      </w:r>
      <w:r w:rsidR="00CB46BF" w:rsidRPr="00CB46B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</w:t>
      </w:r>
      <w:r w:rsidR="00CB46BF" w:rsidRPr="00A41B8B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Presidential Palace</w:t>
      </w:r>
      <w:r w:rsidR="00CB46BF" w:rsidRPr="00CB46B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(Carondelet), the </w:t>
      </w:r>
      <w:r w:rsidR="00CB46BF" w:rsidRPr="00A41B8B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Archbishop's Palace</w:t>
      </w:r>
      <w:r w:rsidR="00CB46BF" w:rsidRPr="00CB46B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, the </w:t>
      </w:r>
      <w:r w:rsidR="00CB46BF" w:rsidRPr="00A41B8B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Cathedral of Quito</w:t>
      </w:r>
      <w:r w:rsidR="00CB46BF" w:rsidRPr="00CB46B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, and the</w:t>
      </w:r>
      <w:r w:rsidR="00214530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city’s</w:t>
      </w:r>
      <w:r w:rsidR="00CB46BF" w:rsidRPr="00CB46B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</w:t>
      </w:r>
      <w:r w:rsidR="00CB46BF" w:rsidRPr="00A41B8B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Municipal Offices</w:t>
      </w:r>
      <w:r w:rsidR="00CB46BF" w:rsidRPr="00CB46B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are all located </w:t>
      </w:r>
      <w:r w:rsidR="000A7FF1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around it</w:t>
      </w:r>
      <w:r w:rsidR="00CB46BF" w:rsidRPr="00CB46B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. Standing tall at the center of the squ</w:t>
      </w:r>
      <w:r w:rsidR="009D5A5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are is </w:t>
      </w:r>
      <w:r w:rsidR="009D5A5F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lastRenderedPageBreak/>
        <w:t xml:space="preserve">a monument that honors the nation’s colonial independence, </w:t>
      </w:r>
      <w:r w:rsidR="009D5A5F" w:rsidRPr="00B00CA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constructed out of marble and bronze in 1906.</w:t>
      </w:r>
      <w:r w:rsidR="009977E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</w:t>
      </w:r>
    </w:p>
    <w:p w14:paraId="7CEB061A" w14:textId="6F098284" w:rsidR="00712575" w:rsidRDefault="000D73A1" w:rsidP="437F2674">
      <w:pPr>
        <w:shd w:val="clear" w:color="auto" w:fill="FFFFFF" w:themeFill="background1"/>
        <w:spacing w:beforeLines="40" w:before="96" w:afterLines="40" w:after="96" w:line="60" w:lineRule="atLeast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es-EC"/>
        </w:rPr>
      </w:pP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Popular amongst </w:t>
      </w:r>
      <w:proofErr w:type="spellStart"/>
      <w:r w:rsidR="00F56880" w:rsidRPr="437F2674">
        <w:rPr>
          <w:rFonts w:ascii="Verdana" w:eastAsia="Times New Roman" w:hAnsi="Verdana" w:cs="Times New Roman"/>
          <w:i/>
          <w:iCs/>
          <w:color w:val="000000"/>
          <w:spacing w:val="2"/>
          <w:sz w:val="20"/>
          <w:szCs w:val="20"/>
          <w:lang w:val="en-US" w:eastAsia="es-EC"/>
        </w:rPr>
        <w:t>Q</w:t>
      </w:r>
      <w:r w:rsidRPr="437F2674">
        <w:rPr>
          <w:rFonts w:ascii="Verdana" w:eastAsia="Times New Roman" w:hAnsi="Verdana" w:cs="Times New Roman"/>
          <w:i/>
          <w:iCs/>
          <w:color w:val="000000"/>
          <w:spacing w:val="2"/>
          <w:sz w:val="20"/>
          <w:szCs w:val="20"/>
          <w:lang w:val="en-US" w:eastAsia="es-EC"/>
        </w:rPr>
        <w:t>uiteños</w:t>
      </w:r>
      <w:proofErr w:type="spellEnd"/>
      <w:r w:rsidRPr="006D164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and foreigners alike,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a stroll along </w:t>
      </w:r>
      <w:r w:rsidRPr="437F2674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>Calle La Ronda</w:t>
      </w:r>
      <w:r w:rsidR="00B06F0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, -a narrow street in the Mediterranean-Andalusian style, with balconies, serenades, and traditional artisan workshops–</w:t>
      </w:r>
      <w:r w:rsidRPr="006D164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is an exploration of the city’s </w:t>
      </w:r>
      <w:r w:rsidRPr="006D164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rich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history and tradition</w:t>
      </w:r>
      <w:r w:rsidRPr="006D164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.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All types of artists and political </w:t>
      </w:r>
      <w:r w:rsidRPr="006D164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figures have walked along the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streets of this iconic neighbo</w:t>
      </w:r>
      <w:r w:rsidRPr="006D164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rhood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,</w:t>
      </w:r>
      <w:r w:rsidR="00CB50BC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which is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full of cultural, </w:t>
      </w:r>
      <w:r w:rsidR="00D7797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artful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, and culinary spots</w:t>
      </w:r>
      <w:r w:rsidRPr="006D164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.</w:t>
      </w:r>
      <w:r w:rsidR="0036415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</w:t>
      </w:r>
      <w:r w:rsidR="0036415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ab/>
      </w:r>
    </w:p>
    <w:p w14:paraId="4F6E0B55" w14:textId="1DC08018" w:rsidR="00D77979" w:rsidRDefault="00D77979" w:rsidP="437F2674">
      <w:pPr>
        <w:shd w:val="clear" w:color="auto" w:fill="FFFFFF" w:themeFill="background1"/>
        <w:spacing w:beforeLines="40" w:before="96" w:afterLines="40" w:after="96" w:line="60" w:lineRule="atLeast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es-EC"/>
        </w:rPr>
      </w:pP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The tour also includes a visit to</w:t>
      </w:r>
      <w:r w:rsidRPr="009977E6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 </w:t>
      </w:r>
      <w:proofErr w:type="spellStart"/>
      <w:r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Panecillo</w:t>
      </w:r>
      <w:proofErr w:type="spellEnd"/>
      <w:r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 Hill</w:t>
      </w:r>
      <w:r w:rsidRPr="009977E6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, practically in the center of Modern-day Quito. </w:t>
      </w:r>
      <w:r w:rsidRPr="009977E6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This scenic viewpoint rises to a height of 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approximately 9,950 ft (about 3,000</w:t>
      </w:r>
      <w:r w:rsidRPr="009977E6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m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)</w:t>
      </w:r>
      <w:r w:rsidRPr="009977E6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above sea level and offers beautiful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>, panoramic</w:t>
      </w:r>
      <w:r w:rsidRPr="009977E6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lang w:val="en-US" w:eastAsia="es-EC"/>
        </w:rPr>
        <w:t xml:space="preserve"> views of the city. 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T</w:t>
      </w:r>
      <w:r w:rsidRPr="009977E6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he 147 ft (45 m) </w:t>
      </w:r>
      <w:r w:rsidRPr="437F2674">
        <w:rPr>
          <w:rFonts w:ascii="Verdana" w:eastAsia="Times New Roman" w:hAnsi="Verdana" w:cs="Times New Roman"/>
          <w:b/>
          <w:bCs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Virgin of Quito</w:t>
      </w:r>
      <w:r w:rsidRPr="009977E6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>is</w:t>
      </w:r>
      <w:r w:rsidRPr="009977E6">
        <w:rPr>
          <w:rFonts w:ascii="Verdana" w:eastAsia="Times New Roman" w:hAnsi="Verdana" w:cs="Times New Roman"/>
          <w:color w:val="000000" w:themeColor="text1"/>
          <w:spacing w:val="2"/>
          <w:sz w:val="20"/>
          <w:szCs w:val="20"/>
          <w:shd w:val="clear" w:color="auto" w:fill="FFFFFF"/>
          <w:lang w:val="en-US" w:eastAsia="es-EC"/>
        </w:rPr>
        <w:t xml:space="preserve"> an aluminum statue built in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1976 by Spanish artist Agustín de la </w:t>
      </w:r>
      <w:proofErr w:type="spellStart"/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>Herrán</w:t>
      </w:r>
      <w:proofErr w:type="spellEnd"/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 Matorral that sits atop the hill. </w:t>
      </w:r>
    </w:p>
    <w:p w14:paraId="23ADCE53" w14:textId="4D4792E1" w:rsidR="00A62AAB" w:rsidRPr="00BC6FC9" w:rsidRDefault="00224BAD" w:rsidP="00BC6FC9">
      <w:pPr>
        <w:shd w:val="clear" w:color="auto" w:fill="FFFFFF"/>
        <w:spacing w:beforeLines="40" w:before="96" w:afterLines="40" w:after="96" w:line="60" w:lineRule="atLeast"/>
        <w:ind w:firstLine="708"/>
        <w:jc w:val="both"/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</w:pP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Our tour would not be complete without a visit to </w:t>
      </w:r>
      <w:r w:rsidR="00BB3738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the </w:t>
      </w:r>
      <w:r w:rsidR="00BB3738">
        <w:rPr>
          <w:rFonts w:ascii="Verdana" w:eastAsia="Times New Roman" w:hAnsi="Verdana" w:cs="Times New Roman"/>
          <w:b/>
          <w:color w:val="000000"/>
          <w:spacing w:val="2"/>
          <w:sz w:val="20"/>
          <w:szCs w:val="20"/>
          <w:shd w:val="clear" w:color="auto" w:fill="FFFFFF"/>
          <w:lang w:val="en-US" w:eastAsia="es-EC"/>
        </w:rPr>
        <w:t>San Roque Community</w:t>
      </w:r>
      <w:r w:rsidR="00BB3738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where we </w:t>
      </w:r>
      <w:r w:rsidR="00BB3738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>learn about their ed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>ucational and touristic project,</w:t>
      </w:r>
      <w:r w:rsidR="00D77979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 </w:t>
      </w:r>
      <w:r w:rsidR="00D77979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shd w:val="clear" w:color="auto" w:fill="FFFFFF"/>
          <w:lang w:val="en-US" w:eastAsia="es-EC"/>
        </w:rPr>
        <w:t>Caminos de San Roque</w:t>
      </w:r>
      <w:r w:rsidR="00D77979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>, which involves the community and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 </w:t>
      </w:r>
      <w:r w:rsidR="00BB3738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was awarded First Place as part of </w:t>
      </w:r>
      <w:r w:rsidR="00BB3738" w:rsidRPr="00A41B8B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>Casa América Catalunya’s 2010 Cultural Cooperation for Development Project.</w:t>
      </w:r>
      <w:r w:rsidR="00BB3738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 Their efforts to rescue the area’s intangible heritage is noted in their exploration of life, beliefs, gastronomy, and ancient </w:t>
      </w:r>
      <w:proofErr w:type="spellStart"/>
      <w:r w:rsidR="00BB3738" w:rsidRPr="00580DA6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shd w:val="clear" w:color="auto" w:fill="FFFFFF"/>
          <w:lang w:val="en-US" w:eastAsia="es-EC"/>
        </w:rPr>
        <w:t>quiteño</w:t>
      </w:r>
      <w:proofErr w:type="spellEnd"/>
      <w:r w:rsidR="003129A9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 traditions. We</w:t>
      </w:r>
      <w:r w:rsidR="00BB3738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 meet </w:t>
      </w:r>
      <w:r w:rsidR="00D77979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with the neighbors and </w:t>
      </w:r>
      <w:r w:rsidR="00BB3738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>medicinal healers</w:t>
      </w:r>
      <w:r w:rsidR="00D77979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>,</w:t>
      </w:r>
      <w:r w:rsidR="00BB3738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 xml:space="preserve"> and acquaint ourselves with the inhabitants</w:t>
      </w:r>
      <w:r w:rsidR="007C5340">
        <w:rPr>
          <w:rFonts w:ascii="Verdana" w:eastAsia="Times New Roman" w:hAnsi="Verdana" w:cs="Times New Roman"/>
          <w:color w:val="000000"/>
          <w:spacing w:val="2"/>
          <w:sz w:val="20"/>
          <w:szCs w:val="20"/>
          <w:shd w:val="clear" w:color="auto" w:fill="FFFFFF"/>
          <w:lang w:val="en-US" w:eastAsia="es-EC"/>
        </w:rPr>
        <w:t>’ many impressive artisanal skills.</w:t>
      </w:r>
    </w:p>
    <w:p w14:paraId="1D820E7C" w14:textId="7E2FF787" w:rsidR="00973CAB" w:rsidRPr="001621C6" w:rsidRDefault="001621C6" w:rsidP="001621C6">
      <w:pPr>
        <w:shd w:val="clear" w:color="auto" w:fill="FFFFFF"/>
        <w:spacing w:beforeLines="40" w:before="96" w:afterLines="40" w:after="96" w:line="60" w:lineRule="atLeast"/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</w:pPr>
      <w:r>
        <w:rPr>
          <w:rFonts w:ascii="Verdana" w:eastAsia="Times New Roman" w:hAnsi="Verdana" w:cs="Times New Roman"/>
          <w:b/>
          <w:color w:val="000000"/>
          <w:spacing w:val="2"/>
          <w:sz w:val="20"/>
          <w:szCs w:val="20"/>
          <w:lang w:val="en-US" w:eastAsia="es-EC"/>
        </w:rPr>
        <w:t>Recommendations</w:t>
      </w:r>
      <w:r>
        <w:rPr>
          <w:rFonts w:ascii="Verdana" w:eastAsia="Times New Roman" w:hAnsi="Verdana" w:cs="Times New Roman"/>
          <w:color w:val="538135" w:themeColor="accent6" w:themeShade="BF"/>
          <w:spacing w:val="2"/>
          <w:sz w:val="20"/>
          <w:szCs w:val="20"/>
          <w:lang w:val="en-US" w:eastAsia="es-EC"/>
        </w:rPr>
        <w:br/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• </w:t>
      </w:r>
      <w:r w:rsidR="00F50AE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Dress in layers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and bring a sweater or jacket</w:t>
      </w:r>
      <w:r w:rsidR="007F157D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.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br/>
        <w:t xml:space="preserve">• </w:t>
      </w:r>
      <w:r w:rsidR="007F157D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W</w:t>
      </w:r>
      <w:r w:rsidR="00F50AE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ear c</w:t>
      </w:r>
      <w:r w:rsidR="009977E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omfortable </w:t>
      </w:r>
      <w:r w:rsidR="00214530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walking </w:t>
      </w:r>
      <w:r w:rsidR="009977E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shoes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.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br/>
        <w:t>• Bring a h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at, sunglas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ses, and sun protection (SPF 40+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)</w:t>
      </w:r>
      <w:r w:rsidR="00F50AE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. </w:t>
      </w:r>
      <w:r w:rsidR="00BC6FC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br/>
        <w:t>• Great photo opportunities, don’t forget to bring a camera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br/>
        <w:t xml:space="preserve">• 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D</w:t>
      </w:r>
      <w:r w:rsidR="00F50AE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epending on the weather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, </w:t>
      </w:r>
      <w:r w:rsidR="00973CA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bring a raincoat or umbrella.</w:t>
      </w:r>
    </w:p>
    <w:p w14:paraId="337F9088" w14:textId="0E480F15" w:rsidR="00973CAB" w:rsidRPr="00BC6FC9" w:rsidRDefault="001621C6" w:rsidP="29BF1BFB">
      <w:pPr>
        <w:shd w:val="clear" w:color="auto" w:fill="FFFFFF" w:themeFill="background1"/>
        <w:spacing w:beforeLines="40" w:before="96" w:afterLines="40" w:after="96" w:line="60" w:lineRule="atLeast"/>
        <w:rPr>
          <w:lang w:val="en-US"/>
        </w:rPr>
      </w:pPr>
      <w:r w:rsidRPr="437F2674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>Notes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</w:t>
      </w:r>
      <w:r w:rsidR="002642DD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br/>
        <w:t xml:space="preserve">• This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t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our</w:t>
      </w:r>
      <w:r w:rsidR="00156D24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is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offered daily</w:t>
      </w:r>
      <w:r w:rsidR="007F157D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</w:t>
      </w:r>
      <w:r w:rsidR="00052C3E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and lasts approximately 9 hours.</w:t>
      </w:r>
      <w:r w:rsidR="1239E4B4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</w:t>
      </w:r>
      <w:r w:rsidR="308FD87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A</w:t>
      </w:r>
      <w:r w:rsidR="680D138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ccess to the </w:t>
      </w:r>
      <w:r w:rsidR="1239E4B4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>San Roque</w:t>
      </w:r>
      <w:r w:rsidR="15F5A160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 xml:space="preserve"> Community</w:t>
      </w:r>
      <w:r w:rsidR="25E43AB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is </w:t>
      </w:r>
      <w:r w:rsidR="25E43ABA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>closed</w:t>
      </w:r>
      <w:r w:rsidR="04E6415F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 xml:space="preserve"> on Sundays</w:t>
      </w:r>
      <w:r w:rsidR="25E43AB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; </w:t>
      </w:r>
      <w:proofErr w:type="gramStart"/>
      <w:r w:rsidR="25E43AB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instead</w:t>
      </w:r>
      <w:proofErr w:type="gramEnd"/>
      <w:r w:rsidR="25E43AB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w</w:t>
      </w:r>
      <w:r w:rsidR="1D0A8391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e recommend you review </w:t>
      </w:r>
      <w:r w:rsidR="1D0A8391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 xml:space="preserve">other options </w:t>
      </w:r>
      <w:r w:rsidR="1D0A8391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with your destination expert</w:t>
      </w:r>
      <w:r w:rsidR="7ADDDF7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, for example</w:t>
      </w:r>
      <w:r w:rsidR="1239E4B4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:</w:t>
      </w:r>
      <w:r w:rsidR="64BBAFD1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</w:t>
      </w:r>
      <w:r w:rsidR="1F152B3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a visit to the </w:t>
      </w:r>
      <w:r w:rsidR="40F9A0E1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neo-gothic </w:t>
      </w:r>
      <w:proofErr w:type="spellStart"/>
      <w:r w:rsidR="1F152B32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>Basílica</w:t>
      </w:r>
      <w:proofErr w:type="spellEnd"/>
      <w:r w:rsidR="1F152B32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 xml:space="preserve"> of the National Vow</w:t>
      </w:r>
      <w:r w:rsidR="1F152B3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or the </w:t>
      </w:r>
      <w:r w:rsidR="61B5AE4E" w:rsidRPr="29BF1BFB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es-EC"/>
        </w:rPr>
        <w:t>historical</w:t>
      </w:r>
      <w:r w:rsidR="61B5AE4E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</w:t>
      </w:r>
      <w:r w:rsidR="1F152B32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>Alberto Mena Caamaño</w:t>
      </w:r>
      <w:r w:rsidR="3D441686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 xml:space="preserve"> </w:t>
      </w:r>
      <w:r w:rsidR="1F152B32" w:rsidRPr="29BF1BFB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>Wax Museum</w:t>
      </w:r>
      <w:r w:rsidR="1F152B32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.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br/>
        <w:t>•</w:t>
      </w:r>
      <w:r w:rsidR="00BC6FC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</w:t>
      </w:r>
      <w:r w:rsidR="0012363B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Tour involves </w:t>
      </w:r>
      <w:r w:rsidR="00BC6FC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walking </w:t>
      </w:r>
      <w:r w:rsidR="0052594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at altitude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br/>
      </w:r>
      <w:r w:rsidRPr="29BF1BFB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es-EC"/>
        </w:rPr>
        <w:t>•</w:t>
      </w:r>
      <w:r w:rsidRPr="29BF1BFB">
        <w:rPr>
          <w:spacing w:val="2"/>
          <w:lang w:val="en-US"/>
        </w:rPr>
        <w:t xml:space="preserve"> </w:t>
      </w:r>
      <w:r w:rsidR="0052594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The order of visits may vary, depending on weather conditions and day of the week</w:t>
      </w:r>
      <w:r w:rsidR="002465A7" w:rsidRPr="29BF1BFB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es-EC"/>
        </w:rPr>
        <w:t>.</w:t>
      </w:r>
    </w:p>
    <w:p w14:paraId="5E2A59DE" w14:textId="2346EF2A" w:rsidR="00973CAB" w:rsidRPr="00BC6FC9" w:rsidRDefault="001621C6" w:rsidP="437F2674">
      <w:pPr>
        <w:shd w:val="clear" w:color="auto" w:fill="FFFFFF" w:themeFill="background1"/>
        <w:spacing w:beforeLines="40" w:before="96" w:afterLines="40" w:after="96" w:line="60" w:lineRule="atLeast"/>
        <w:rPr>
          <w:rFonts w:ascii="Verdana" w:eastAsia="Times New Roman" w:hAnsi="Verdana" w:cs="Times New Roman"/>
          <w:color w:val="444444"/>
          <w:sz w:val="45"/>
          <w:szCs w:val="45"/>
          <w:lang w:val="en-US" w:eastAsia="es-EC"/>
        </w:rPr>
      </w:pPr>
      <w:r w:rsidRPr="437F2674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>Included: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Private guide and driver, </w:t>
      </w:r>
      <w:r w:rsidR="00BA6D0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lunch</w:t>
      </w:r>
      <w:r w:rsidR="00F56880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,</w:t>
      </w:r>
      <w:r w:rsidR="00052C3E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and </w:t>
      </w:r>
      <w:r w:rsidR="0052594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all entrance fees.</w:t>
      </w:r>
      <w:r w:rsidRPr="0068144A">
        <w:rPr>
          <w:lang w:val="en-US"/>
        </w:rPr>
        <w:br/>
      </w:r>
      <w:r w:rsidRPr="437F2674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en-US" w:eastAsia="es-EC"/>
        </w:rPr>
        <w:t xml:space="preserve">Not included: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Tips, </w:t>
      </w:r>
      <w:r w:rsidR="0052594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beverage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s</w:t>
      </w:r>
      <w:r w:rsidR="00525946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 xml:space="preserve"> not mentioned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, personal expenses</w:t>
      </w:r>
      <w:r w:rsidR="003E1C9A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en-US" w:eastAsia="es-EC"/>
        </w:rPr>
        <w:t>.</w:t>
      </w:r>
      <w:r w:rsidRPr="00B00CA6">
        <w:rPr>
          <w:rFonts w:ascii="Verdana" w:eastAsia="Times New Roman" w:hAnsi="Verdana" w:cs="Times New Roman"/>
          <w:color w:val="444444"/>
          <w:spacing w:val="2"/>
          <w:sz w:val="45"/>
          <w:szCs w:val="45"/>
          <w:lang w:val="en-US" w:eastAsia="es-EC"/>
        </w:rPr>
        <w:t xml:space="preserve"> </w:t>
      </w:r>
    </w:p>
    <w:sectPr w:rsidR="00973CAB" w:rsidRPr="00BC6FC9" w:rsidSect="007125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6B03" w14:textId="77777777" w:rsidR="00FE581D" w:rsidRDefault="00FE581D" w:rsidP="00D561CD">
      <w:pPr>
        <w:spacing w:after="0" w:line="240" w:lineRule="auto"/>
      </w:pPr>
      <w:r>
        <w:separator/>
      </w:r>
    </w:p>
  </w:endnote>
  <w:endnote w:type="continuationSeparator" w:id="0">
    <w:p w14:paraId="47AC988C" w14:textId="77777777" w:rsidR="00FE581D" w:rsidRDefault="00FE581D" w:rsidP="00D5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88BD" w14:textId="77777777" w:rsidR="00164A4D" w:rsidRDefault="00164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657A" w14:textId="77777777" w:rsidR="00164A4D" w:rsidRDefault="00164A4D" w:rsidP="00164A4D">
    <w:pPr>
      <w:pStyle w:val="Piedepgina"/>
      <w:jc w:val="center"/>
      <w:rPr>
        <w:lang w:val="es-ES"/>
      </w:rPr>
    </w:pPr>
    <w:bookmarkStart w:id="0" w:name="_Hlk149036792"/>
    <w:bookmarkStart w:id="1" w:name="_Hlk149036793"/>
    <w:bookmarkStart w:id="2" w:name="_Hlk149036837"/>
    <w:bookmarkStart w:id="3" w:name="_Hlk149036838"/>
    <w:bookmarkStart w:id="4" w:name="_Hlk149036942"/>
    <w:bookmarkStart w:id="5" w:name="_Hlk149036943"/>
    <w:bookmarkStart w:id="6" w:name="_Hlk149036979"/>
    <w:bookmarkStart w:id="7" w:name="_Hlk149036980"/>
    <w:bookmarkStart w:id="8" w:name="_Hlk149036991"/>
    <w:bookmarkStart w:id="9" w:name="_Hlk149036992"/>
    <w:bookmarkStart w:id="10" w:name="_Hlk149038497"/>
    <w:bookmarkStart w:id="11" w:name="_Hlk149038498"/>
    <w:bookmarkStart w:id="12" w:name="_Hlk149038507"/>
    <w:bookmarkStart w:id="13" w:name="_Hlk149038508"/>
    <w:r>
      <w:rPr>
        <w:lang w:val="es-ES"/>
      </w:rPr>
      <w:t xml:space="preserve">Cordova 1011 y P. Icaza – Guayaquil, Ecuador </w:t>
    </w:r>
  </w:p>
  <w:p w14:paraId="420FB6FD" w14:textId="77777777" w:rsidR="00164A4D" w:rsidRPr="00861873" w:rsidRDefault="00164A4D" w:rsidP="00164A4D">
    <w:pPr>
      <w:pStyle w:val="Piedepgina"/>
      <w:jc w:val="center"/>
      <w:rPr>
        <w:lang w:val="es-ES"/>
      </w:rPr>
    </w:pPr>
    <w:r>
      <w:rPr>
        <w:lang w:val="es-ES"/>
      </w:rPr>
      <w:t>+593 4 3701800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21F61809" w14:textId="77777777" w:rsidR="00164A4D" w:rsidRDefault="00164A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81E4" w14:textId="77777777" w:rsidR="00164A4D" w:rsidRDefault="00164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8F53" w14:textId="77777777" w:rsidR="00FE581D" w:rsidRDefault="00FE581D" w:rsidP="00D561CD">
      <w:pPr>
        <w:spacing w:after="0" w:line="240" w:lineRule="auto"/>
      </w:pPr>
      <w:r>
        <w:separator/>
      </w:r>
    </w:p>
  </w:footnote>
  <w:footnote w:type="continuationSeparator" w:id="0">
    <w:p w14:paraId="5582F65E" w14:textId="77777777" w:rsidR="00FE581D" w:rsidRDefault="00FE581D" w:rsidP="00D5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D7D7" w14:textId="77777777" w:rsidR="00164A4D" w:rsidRDefault="00164A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40BA" w14:textId="25DF964E" w:rsidR="006A7B17" w:rsidRDefault="00164A4D" w:rsidP="00164A4D">
    <w:pPr>
      <w:pStyle w:val="Encabezado"/>
      <w:jc w:val="center"/>
    </w:pPr>
    <w:r>
      <w:rPr>
        <w:noProof/>
      </w:rPr>
      <w:drawing>
        <wp:inline distT="0" distB="0" distL="0" distR="0" wp14:anchorId="2ED1CE61" wp14:editId="41E73DB9">
          <wp:extent cx="1301977" cy="923670"/>
          <wp:effectExtent l="0" t="0" r="0" b="0"/>
          <wp:docPr id="6969419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19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1692" cy="937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80CA" w14:textId="77777777" w:rsidR="00164A4D" w:rsidRDefault="00164A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5FEC"/>
    <w:multiLevelType w:val="hybridMultilevel"/>
    <w:tmpl w:val="658ACF1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200A4"/>
    <w:multiLevelType w:val="hybridMultilevel"/>
    <w:tmpl w:val="6540D5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051AF"/>
    <w:multiLevelType w:val="hybridMultilevel"/>
    <w:tmpl w:val="EE92D8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9D318A"/>
    <w:multiLevelType w:val="hybridMultilevel"/>
    <w:tmpl w:val="7AF21F3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2063984">
    <w:abstractNumId w:val="1"/>
  </w:num>
  <w:num w:numId="2" w16cid:durableId="105349049">
    <w:abstractNumId w:val="2"/>
  </w:num>
  <w:num w:numId="3" w16cid:durableId="954941355">
    <w:abstractNumId w:val="0"/>
  </w:num>
  <w:num w:numId="4" w16cid:durableId="805244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A6"/>
    <w:rsid w:val="0004191A"/>
    <w:rsid w:val="0004329F"/>
    <w:rsid w:val="00052C3E"/>
    <w:rsid w:val="00094088"/>
    <w:rsid w:val="000A7FF1"/>
    <w:rsid w:val="000C53FD"/>
    <w:rsid w:val="000D047D"/>
    <w:rsid w:val="000D73A1"/>
    <w:rsid w:val="000F0B6F"/>
    <w:rsid w:val="0012363B"/>
    <w:rsid w:val="00156D24"/>
    <w:rsid w:val="001621C6"/>
    <w:rsid w:val="00162597"/>
    <w:rsid w:val="00164A4D"/>
    <w:rsid w:val="00166652"/>
    <w:rsid w:val="00173E87"/>
    <w:rsid w:val="0018734E"/>
    <w:rsid w:val="001905C1"/>
    <w:rsid w:val="001B0068"/>
    <w:rsid w:val="001C7A55"/>
    <w:rsid w:val="00202A91"/>
    <w:rsid w:val="00214530"/>
    <w:rsid w:val="00224BAD"/>
    <w:rsid w:val="002465A7"/>
    <w:rsid w:val="0025580E"/>
    <w:rsid w:val="002642DD"/>
    <w:rsid w:val="002666B8"/>
    <w:rsid w:val="00270FD9"/>
    <w:rsid w:val="002D526C"/>
    <w:rsid w:val="003129A9"/>
    <w:rsid w:val="00345265"/>
    <w:rsid w:val="00355E5B"/>
    <w:rsid w:val="0036415B"/>
    <w:rsid w:val="00367118"/>
    <w:rsid w:val="003E1C9A"/>
    <w:rsid w:val="00406F6F"/>
    <w:rsid w:val="0041084F"/>
    <w:rsid w:val="004506E7"/>
    <w:rsid w:val="004E0FE9"/>
    <w:rsid w:val="004E3347"/>
    <w:rsid w:val="00525946"/>
    <w:rsid w:val="0057138C"/>
    <w:rsid w:val="00571B69"/>
    <w:rsid w:val="00580DA6"/>
    <w:rsid w:val="00595C60"/>
    <w:rsid w:val="005A598C"/>
    <w:rsid w:val="005C3C17"/>
    <w:rsid w:val="0068144A"/>
    <w:rsid w:val="006A15B2"/>
    <w:rsid w:val="006A7B17"/>
    <w:rsid w:val="006D12B7"/>
    <w:rsid w:val="006D759C"/>
    <w:rsid w:val="006F13B3"/>
    <w:rsid w:val="00700BE2"/>
    <w:rsid w:val="00712575"/>
    <w:rsid w:val="007170B7"/>
    <w:rsid w:val="0074598E"/>
    <w:rsid w:val="007A3556"/>
    <w:rsid w:val="007C5340"/>
    <w:rsid w:val="007E3F42"/>
    <w:rsid w:val="007F157D"/>
    <w:rsid w:val="0081509B"/>
    <w:rsid w:val="008234A3"/>
    <w:rsid w:val="00874CCE"/>
    <w:rsid w:val="008A57CF"/>
    <w:rsid w:val="0090332A"/>
    <w:rsid w:val="009640F0"/>
    <w:rsid w:val="00973CAB"/>
    <w:rsid w:val="009977E6"/>
    <w:rsid w:val="00997872"/>
    <w:rsid w:val="009A7B10"/>
    <w:rsid w:val="009D5A5F"/>
    <w:rsid w:val="009F67AF"/>
    <w:rsid w:val="00A41B8B"/>
    <w:rsid w:val="00A62AAB"/>
    <w:rsid w:val="00A77E13"/>
    <w:rsid w:val="00AF53EC"/>
    <w:rsid w:val="00B0021A"/>
    <w:rsid w:val="00B00CA6"/>
    <w:rsid w:val="00B06F0B"/>
    <w:rsid w:val="00B14336"/>
    <w:rsid w:val="00B22458"/>
    <w:rsid w:val="00B32640"/>
    <w:rsid w:val="00B42271"/>
    <w:rsid w:val="00B4778A"/>
    <w:rsid w:val="00B5537A"/>
    <w:rsid w:val="00B566E7"/>
    <w:rsid w:val="00B61A95"/>
    <w:rsid w:val="00B973F2"/>
    <w:rsid w:val="00BA6D06"/>
    <w:rsid w:val="00BA7E85"/>
    <w:rsid w:val="00BB3738"/>
    <w:rsid w:val="00BC573D"/>
    <w:rsid w:val="00BC6FC9"/>
    <w:rsid w:val="00C00E96"/>
    <w:rsid w:val="00C02E40"/>
    <w:rsid w:val="00C07C28"/>
    <w:rsid w:val="00C14905"/>
    <w:rsid w:val="00C16AF7"/>
    <w:rsid w:val="00C4230C"/>
    <w:rsid w:val="00C9430A"/>
    <w:rsid w:val="00CB46BF"/>
    <w:rsid w:val="00CB50BC"/>
    <w:rsid w:val="00D0496C"/>
    <w:rsid w:val="00D12F76"/>
    <w:rsid w:val="00D513D5"/>
    <w:rsid w:val="00D561CD"/>
    <w:rsid w:val="00D605CB"/>
    <w:rsid w:val="00D77979"/>
    <w:rsid w:val="00EE6D47"/>
    <w:rsid w:val="00F02729"/>
    <w:rsid w:val="00F10320"/>
    <w:rsid w:val="00F22ABE"/>
    <w:rsid w:val="00F50AEA"/>
    <w:rsid w:val="00F56880"/>
    <w:rsid w:val="00F67436"/>
    <w:rsid w:val="00F74C36"/>
    <w:rsid w:val="00FA6537"/>
    <w:rsid w:val="00FB07CA"/>
    <w:rsid w:val="00FE581D"/>
    <w:rsid w:val="04E6415F"/>
    <w:rsid w:val="04EE8236"/>
    <w:rsid w:val="06797037"/>
    <w:rsid w:val="0962ED0A"/>
    <w:rsid w:val="09EC15CD"/>
    <w:rsid w:val="0AE2756C"/>
    <w:rsid w:val="1217E44A"/>
    <w:rsid w:val="1239E4B4"/>
    <w:rsid w:val="15377A30"/>
    <w:rsid w:val="15F5A160"/>
    <w:rsid w:val="1D0A8391"/>
    <w:rsid w:val="1D5DD99F"/>
    <w:rsid w:val="1F152B32"/>
    <w:rsid w:val="1F8932E6"/>
    <w:rsid w:val="25E43ABA"/>
    <w:rsid w:val="29BF1BFB"/>
    <w:rsid w:val="308FD872"/>
    <w:rsid w:val="3545C2F7"/>
    <w:rsid w:val="3BB7C074"/>
    <w:rsid w:val="3D441686"/>
    <w:rsid w:val="40F9A0E1"/>
    <w:rsid w:val="437F2674"/>
    <w:rsid w:val="44B8F403"/>
    <w:rsid w:val="45FAEC81"/>
    <w:rsid w:val="4632C568"/>
    <w:rsid w:val="465EAD48"/>
    <w:rsid w:val="49F2E137"/>
    <w:rsid w:val="4F9F8097"/>
    <w:rsid w:val="507AF1A6"/>
    <w:rsid w:val="51D19CA2"/>
    <w:rsid w:val="52F5DCDF"/>
    <w:rsid w:val="55794556"/>
    <w:rsid w:val="61B5AE4E"/>
    <w:rsid w:val="64BBAFD1"/>
    <w:rsid w:val="665914C5"/>
    <w:rsid w:val="680D138A"/>
    <w:rsid w:val="6EAD27D1"/>
    <w:rsid w:val="6EBB2809"/>
    <w:rsid w:val="75175986"/>
    <w:rsid w:val="7A185AFA"/>
    <w:rsid w:val="7ADDDF76"/>
    <w:rsid w:val="7B4FD4ED"/>
    <w:rsid w:val="7C9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962E"/>
  <w15:chartTrackingRefBased/>
  <w15:docId w15:val="{84409DF4-9A0F-4816-A32A-1C21A0BA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0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link w:val="Ttulo3Car"/>
    <w:uiPriority w:val="9"/>
    <w:qFormat/>
    <w:rsid w:val="00B00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00CA6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B00CA6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B0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pt-normal">
    <w:name w:val="pt-normal"/>
    <w:basedOn w:val="Normal"/>
    <w:rsid w:val="00B0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pt-defaultparagraphfont">
    <w:name w:val="pt-defaultparagraphfont"/>
    <w:basedOn w:val="Fuentedeprrafopredeter"/>
    <w:rsid w:val="00B00CA6"/>
  </w:style>
  <w:style w:type="character" w:customStyle="1" w:styleId="pt-defaultparagraphfont-000001">
    <w:name w:val="pt-defaultparagraphfont-000001"/>
    <w:basedOn w:val="Fuentedeprrafopredeter"/>
    <w:rsid w:val="00B00CA6"/>
  </w:style>
  <w:style w:type="paragraph" w:customStyle="1" w:styleId="pt-htmlpreformatted">
    <w:name w:val="pt-htmlpreformatted"/>
    <w:basedOn w:val="Normal"/>
    <w:rsid w:val="00B0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pt-defaultparagraphfont-000000">
    <w:name w:val="pt-defaultparagraphfont-000000"/>
    <w:basedOn w:val="Fuentedeprrafopredeter"/>
    <w:rsid w:val="00B00CA6"/>
  </w:style>
  <w:style w:type="character" w:customStyle="1" w:styleId="pt-defaultparagraphfont-000002">
    <w:name w:val="pt-defaultparagraphfont-000002"/>
    <w:basedOn w:val="Fuentedeprrafopredeter"/>
    <w:rsid w:val="00B00CA6"/>
  </w:style>
  <w:style w:type="character" w:customStyle="1" w:styleId="pt-defaultparagraphfont-000003">
    <w:name w:val="pt-defaultparagraphfont-000003"/>
    <w:basedOn w:val="Fuentedeprrafopredeter"/>
    <w:rsid w:val="00B00CA6"/>
  </w:style>
  <w:style w:type="paragraph" w:styleId="Textodeglobo">
    <w:name w:val="Balloon Text"/>
    <w:basedOn w:val="Normal"/>
    <w:link w:val="TextodegloboCar"/>
    <w:uiPriority w:val="99"/>
    <w:semiHidden/>
    <w:unhideWhenUsed/>
    <w:rsid w:val="00B0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CA6"/>
    <w:rPr>
      <w:rFonts w:ascii="Segoe UI" w:hAnsi="Segoe UI" w:cs="Segoe UI"/>
      <w:sz w:val="18"/>
      <w:szCs w:val="18"/>
    </w:rPr>
  </w:style>
  <w:style w:type="character" w:customStyle="1" w:styleId="pt-fuentedeprrafopredeter">
    <w:name w:val="pt-fuentedeprrafopredeter"/>
    <w:basedOn w:val="Fuentedeprrafopredeter"/>
    <w:rsid w:val="00B00CA6"/>
  </w:style>
  <w:style w:type="character" w:customStyle="1" w:styleId="pt-fuentedeprrafopredeter-000000">
    <w:name w:val="pt-fuentedeprrafopredeter-000000"/>
    <w:basedOn w:val="Fuentedeprrafopredeter"/>
    <w:rsid w:val="00B00CA6"/>
  </w:style>
  <w:style w:type="character" w:customStyle="1" w:styleId="pt-fuentedeprrafopredeter-000001">
    <w:name w:val="pt-fuentedeprrafopredeter-000001"/>
    <w:basedOn w:val="Fuentedeprrafopredeter"/>
    <w:rsid w:val="00B00CA6"/>
  </w:style>
  <w:style w:type="paragraph" w:styleId="Prrafodelista">
    <w:name w:val="List Paragraph"/>
    <w:basedOn w:val="Normal"/>
    <w:uiPriority w:val="34"/>
    <w:qFormat/>
    <w:rsid w:val="009977E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61A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A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A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A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A9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C1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6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1CD"/>
  </w:style>
  <w:style w:type="paragraph" w:styleId="Piedepgina">
    <w:name w:val="footer"/>
    <w:basedOn w:val="Normal"/>
    <w:link w:val="PiedepginaCar"/>
    <w:uiPriority w:val="99"/>
    <w:unhideWhenUsed/>
    <w:rsid w:val="00D56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1CD"/>
  </w:style>
  <w:style w:type="paragraph" w:styleId="HTMLconformatoprevio">
    <w:name w:val="HTML Preformatted"/>
    <w:basedOn w:val="Normal"/>
    <w:link w:val="HTMLconformatoprevioCar"/>
    <w:uiPriority w:val="99"/>
    <w:unhideWhenUsed/>
    <w:rsid w:val="000D04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D047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92015b0-35ac-44e7-a857-b2c554ef9c7d">
      <Terms xmlns="http://schemas.microsoft.com/office/infopath/2007/PartnerControls"/>
    </TaxKeywordTaxHTField>
    <TaxCatchAll xmlns="d92015b0-35ac-44e7-a857-b2c554ef9c7d" xsi:nil="true"/>
    <Date xmlns="3fd1ed53-ba98-4ec2-9fdf-2da79ec8a846" xsi:nil="true"/>
    <lcf76f155ced4ddcb4097134ff3c332f xmlns="3fd1ed53-ba98-4ec2-9fdf-2da79ec8a84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44EDB829184AAADF7BF3B70AB0FF" ma:contentTypeVersion="21" ma:contentTypeDescription="Create a new document." ma:contentTypeScope="" ma:versionID="3cd85cd1c621d1205b14c3059286b934">
  <xsd:schema xmlns:xsd="http://www.w3.org/2001/XMLSchema" xmlns:xs="http://www.w3.org/2001/XMLSchema" xmlns:p="http://schemas.microsoft.com/office/2006/metadata/properties" xmlns:ns2="3fd1ed53-ba98-4ec2-9fdf-2da79ec8a846" xmlns:ns3="d92015b0-35ac-44e7-a857-b2c554ef9c7d" targetNamespace="http://schemas.microsoft.com/office/2006/metadata/properties" ma:root="true" ma:fieldsID="b2f868fd7b017125f9a64eec5424c515" ns2:_="" ns3:_="">
    <xsd:import namespace="3fd1ed53-ba98-4ec2-9fdf-2da79ec8a846"/>
    <xsd:import namespace="d92015b0-35ac-44e7-a857-b2c554ef9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ed53-ba98-4ec2-9fdf-2da79ec8a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8a9b1fd-deda-47bd-9c12-7f3ed2991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015b0-35ac-44e7-a857-b2c554ef9c7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8a9b1fd-deda-47bd-9c12-7f3ed2991ea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2797d1-f1d7-4494-81c7-fd917db87192}" ma:internalName="TaxCatchAll" ma:showField="CatchAllData" ma:web="d92015b0-35ac-44e7-a857-b2c554ef9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8E4CD-47DF-4A06-9A71-1836B563DBC0}">
  <ds:schemaRefs>
    <ds:schemaRef ds:uri="http://schemas.microsoft.com/office/2006/metadata/properties"/>
    <ds:schemaRef ds:uri="http://schemas.microsoft.com/office/infopath/2007/PartnerControls"/>
    <ds:schemaRef ds:uri="d92015b0-35ac-44e7-a857-b2c554ef9c7d"/>
    <ds:schemaRef ds:uri="3fd1ed53-ba98-4ec2-9fdf-2da79ec8a846"/>
  </ds:schemaRefs>
</ds:datastoreItem>
</file>

<file path=customXml/itemProps2.xml><?xml version="1.0" encoding="utf-8"?>
<ds:datastoreItem xmlns:ds="http://schemas.openxmlformats.org/officeDocument/2006/customXml" ds:itemID="{614A9356-FF3B-2544-A198-5546AA8980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E3DF1-94C6-47FB-BA74-182F20C84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ed53-ba98-4ec2-9fdf-2da79ec8a846"/>
    <ds:schemaRef ds:uri="d92015b0-35ac-44e7-a857-b2c554ef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0B47F-AE9E-4284-9A86-2AC743FF8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Karin Perez</cp:lastModifiedBy>
  <cp:revision>3</cp:revision>
  <dcterms:created xsi:type="dcterms:W3CDTF">2023-10-25T20:00:00Z</dcterms:created>
  <dcterms:modified xsi:type="dcterms:W3CDTF">2023-10-25T20:06:00Z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0x010100915A44EDB829184AAADF7BF3B70AB0FF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